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FJKZB-685062024</w:t>
      </w:r>
    </w:p>
    <w:p>
      <w:pPr>
        <w:pStyle w:val="11"/>
        <w:spacing w:line="640" w:lineRule="exact"/>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监舍灯改造项目</w:t>
      </w:r>
    </w:p>
    <w:p>
      <w:pPr>
        <w:pStyle w:val="11"/>
        <w:spacing w:line="640" w:lineRule="exact"/>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7"/>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eastAsia="zh-CN"/>
        </w:rPr>
        <w:t>七</w:t>
      </w:r>
      <w:r>
        <w:rPr>
          <w:rFonts w:hint="eastAsia" w:ascii="宋体" w:hAnsi="宋体"/>
          <w:b/>
          <w:sz w:val="32"/>
          <w:szCs w:val="32"/>
        </w:rPr>
        <w:t>月</w:t>
      </w:r>
    </w:p>
    <w:p>
      <w:pPr>
        <w:pStyle w:val="3"/>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b w:val="0"/>
          <w:kern w:val="0"/>
          <w:sz w:val="24"/>
          <w:szCs w:val="24"/>
          <w:u w:val="single"/>
          <w:lang w:eastAsia="zh-CN"/>
        </w:rPr>
        <w:t>监舍灯改造项目</w:t>
      </w:r>
      <w:r>
        <w:rPr>
          <w:rFonts w:hint="eastAsia" w:ascii="宋体" w:hAnsi="宋体" w:cs="宋体"/>
          <w:kern w:val="0"/>
          <w:sz w:val="24"/>
          <w:u w:val="single"/>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FJKZB-685062024</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2.项目名称：</w:t>
      </w:r>
      <w:r>
        <w:rPr>
          <w:rFonts w:hint="eastAsia" w:ascii="宋体" w:hAnsi="宋体" w:cs="宋体"/>
          <w:b/>
          <w:bCs/>
          <w:kern w:val="0"/>
          <w:sz w:val="24"/>
          <w:szCs w:val="24"/>
          <w:u w:val="none"/>
          <w:lang w:eastAsia="zh-CN"/>
        </w:rPr>
        <w:t>监舍灯改造项目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报名开始时间：2024年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报名截止时间：2024年</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网上竞价开始时间：2024年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 09:30:00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网上竞价截止时间：2024年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 11:30:00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bookmarkStart w:id="24" w:name="_GoBack"/>
      <w:bookmarkEnd w:id="24"/>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sz w:val="24"/>
          <w:lang w:val="en-US" w:eastAsia="zh-CN"/>
        </w:rPr>
        <w:t>2179</w:t>
      </w:r>
      <w:r>
        <w:rPr>
          <w:rFonts w:hint="eastAsia" w:ascii="宋体" w:hAnsi="宋体" w:cs="宋体"/>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采购人：福建省女子监狱</w:t>
      </w:r>
    </w:p>
    <w:p>
      <w:pPr>
        <w:spacing w:line="360" w:lineRule="auto"/>
        <w:ind w:firstLine="480" w:firstLineChars="200"/>
        <w:rPr>
          <w:rFonts w:ascii="宋体" w:hAnsi="宋体"/>
          <w:sz w:val="24"/>
        </w:rPr>
      </w:pPr>
      <w:r>
        <w:rPr>
          <w:rFonts w:hint="eastAsia" w:ascii="宋体" w:hAnsi="宋体"/>
          <w:sz w:val="24"/>
        </w:rPr>
        <w:t>地  址：福州市闽侯县南屿镇新南大道156号</w:t>
      </w:r>
    </w:p>
    <w:p>
      <w:pPr>
        <w:spacing w:line="360" w:lineRule="auto"/>
        <w:ind w:firstLine="480" w:firstLineChars="200"/>
        <w:rPr>
          <w:rFonts w:hint="default" w:ascii="宋体" w:hAnsi="宋体" w:eastAsia="宋体" w:cs="宋体"/>
          <w:sz w:val="24"/>
          <w:lang w:val="en-US" w:eastAsia="zh-CN"/>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eastAsia="zh-CN"/>
        </w:rPr>
        <w:t>庄</w:t>
      </w:r>
      <w:r>
        <w:rPr>
          <w:rFonts w:hint="eastAsia" w:ascii="宋体" w:hAnsi="宋体" w:cs="宋体"/>
          <w:sz w:val="24"/>
        </w:rPr>
        <w:t>警官</w:t>
      </w:r>
      <w:r>
        <w:rPr>
          <w:rFonts w:hint="eastAsia" w:ascii="宋体" w:hAnsi="宋体" w:cs="宋体"/>
          <w:sz w:val="24"/>
          <w:highlight w:val="none"/>
        </w:rPr>
        <w:t>、05</w:t>
      </w:r>
      <w:r>
        <w:rPr>
          <w:rFonts w:hint="eastAsia" w:ascii="宋体" w:hAnsi="宋体" w:cs="Times New Roman"/>
          <w:sz w:val="24"/>
          <w:highlight w:val="none"/>
        </w:rPr>
        <w:t>91-23507197</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蔡海敏</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7"/>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8016816"/>
      <w:bookmarkStart w:id="2" w:name="_Toc359317661"/>
      <w:bookmarkStart w:id="3" w:name="_Toc347060296"/>
      <w:bookmarkStart w:id="4" w:name="_Toc330567034"/>
      <w:bookmarkStart w:id="5" w:name="_Toc346300367"/>
      <w:bookmarkStart w:id="6" w:name="_Toc327948617"/>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99"/>
        <w:gridCol w:w="2365"/>
        <w:gridCol w:w="1819"/>
        <w:gridCol w:w="1101"/>
        <w:gridCol w:w="118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5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1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9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5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kern w:val="0"/>
                <w:sz w:val="24"/>
                <w:szCs w:val="22"/>
                <w:lang w:eastAsia="zh-CN"/>
              </w:rPr>
            </w:pPr>
            <w:r>
              <w:rPr>
                <w:rFonts w:hint="eastAsia" w:ascii="宋体" w:hAnsi="宋体"/>
                <w:b/>
                <w:bCs/>
                <w:kern w:val="0"/>
                <w:sz w:val="24"/>
                <w:szCs w:val="22"/>
                <w:lang w:eastAsia="zh-CN"/>
              </w:rPr>
              <w:t>单价最高限价</w:t>
            </w:r>
          </w:p>
        </w:tc>
        <w:tc>
          <w:tcPr>
            <w:tcW w:w="6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592"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平板式长条灯</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1135个</w:t>
            </w:r>
          </w:p>
        </w:tc>
        <w:tc>
          <w:tcPr>
            <w:tcW w:w="593"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135</w:t>
            </w:r>
          </w:p>
        </w:tc>
        <w:tc>
          <w:tcPr>
            <w:tcW w:w="677"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宋体"/>
                <w:color w:val="000000"/>
                <w:sz w:val="24"/>
                <w:highlight w:val="none"/>
                <w:lang w:val="en-US" w:eastAsia="zh-CN"/>
              </w:rPr>
              <w:t>217930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592"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嵌入式平板灯</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365个</w:t>
            </w:r>
          </w:p>
        </w:tc>
        <w:tc>
          <w:tcPr>
            <w:tcW w:w="593"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130</w:t>
            </w:r>
          </w:p>
        </w:tc>
        <w:tc>
          <w:tcPr>
            <w:tcW w:w="677"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592"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吸顶式吸顶灯</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261个</w:t>
            </w:r>
          </w:p>
        </w:tc>
        <w:tc>
          <w:tcPr>
            <w:tcW w:w="593"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55</w:t>
            </w:r>
          </w:p>
        </w:tc>
        <w:tc>
          <w:tcPr>
            <w:tcW w:w="677"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592"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4"/>
              </w:rPr>
            </w:pP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挂壁式三防灯</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58个</w:t>
            </w:r>
          </w:p>
        </w:tc>
        <w:tc>
          <w:tcPr>
            <w:tcW w:w="593" w:type="pct"/>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50</w:t>
            </w:r>
          </w:p>
        </w:tc>
        <w:tc>
          <w:tcPr>
            <w:tcW w:w="677" w:type="pct"/>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kern w:val="0"/>
                <w:sz w:val="24"/>
                <w:lang w:eastAsia="zh-CN"/>
              </w:rPr>
            </w:pPr>
            <w:r>
              <w:rPr>
                <w:rFonts w:hint="eastAsia" w:ascii="宋体" w:hAnsi="宋体"/>
                <w:kern w:val="0"/>
                <w:sz w:val="24"/>
              </w:rPr>
              <w:t>合计(大写)：人民币</w:t>
            </w:r>
            <w:r>
              <w:rPr>
                <w:rFonts w:hint="eastAsia" w:ascii="宋体" w:hAnsi="宋体"/>
                <w:kern w:val="0"/>
                <w:sz w:val="24"/>
                <w:lang w:val="en-US" w:eastAsia="zh-CN"/>
              </w:rPr>
              <w:t>贰拾壹万柒仟玖佰叁拾</w:t>
            </w:r>
            <w:r>
              <w:rPr>
                <w:rFonts w:hint="eastAsia" w:ascii="宋体" w:hAnsi="宋体"/>
                <w:kern w:val="0"/>
                <w:sz w:val="24"/>
              </w:rPr>
              <w:t>元</w:t>
            </w:r>
            <w:r>
              <w:rPr>
                <w:rFonts w:hint="eastAsia" w:ascii="宋体" w:hAnsi="宋体"/>
                <w:kern w:val="0"/>
                <w:sz w:val="24"/>
                <w:lang w:eastAsia="zh-CN"/>
              </w:rPr>
              <w:t>整</w:t>
            </w:r>
          </w:p>
        </w:tc>
        <w:tc>
          <w:tcPr>
            <w:tcW w:w="190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w:t>
            </w:r>
            <w:r>
              <w:rPr>
                <w:rFonts w:hint="eastAsia" w:ascii="宋体" w:hAnsi="宋体" w:cs="宋体"/>
                <w:color w:val="000000"/>
                <w:sz w:val="24"/>
                <w:highlight w:val="none"/>
                <w:lang w:val="en-US" w:eastAsia="zh-CN"/>
              </w:rPr>
              <w:t>217930</w:t>
            </w:r>
            <w:r>
              <w:rPr>
                <w:rFonts w:hint="eastAsia" w:ascii="宋体" w:hAnsi="宋体" w:cs="新宋体"/>
                <w:kern w:val="0"/>
                <w:sz w:val="24"/>
                <w:highlight w:val="none"/>
              </w:rPr>
              <w:t>.00</w:t>
            </w:r>
          </w:p>
        </w:tc>
      </w:tr>
    </w:tbl>
    <w:p>
      <w:pPr>
        <w:pStyle w:val="6"/>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6"/>
        <w:spacing w:beforeAutospacing="0" w:afterAutospacing="0" w:line="360" w:lineRule="auto"/>
        <w:ind w:firstLine="480" w:firstLineChars="200"/>
        <w:rPr>
          <w:rFonts w:cs="宋体"/>
          <w:b w:val="0"/>
          <w:bCs/>
          <w:sz w:val="24"/>
        </w:rPr>
      </w:pPr>
      <w:r>
        <w:rPr>
          <w:rFonts w:hint="eastAsia" w:cs="宋体"/>
          <w:b w:val="0"/>
          <w:bCs/>
          <w:sz w:val="24"/>
        </w:rPr>
        <w:t>3.本项目为</w:t>
      </w:r>
      <w:r>
        <w:rPr>
          <w:rFonts w:hint="eastAsia" w:cs="宋体"/>
          <w:b w:val="0"/>
          <w:bCs/>
          <w:sz w:val="24"/>
          <w:szCs w:val="36"/>
          <w:lang w:eastAsia="zh-CN"/>
        </w:rPr>
        <w:t>监舍灯改造项目</w:t>
      </w:r>
      <w:r>
        <w:rPr>
          <w:rFonts w:hint="eastAsia" w:cs="宋体"/>
          <w:b w:val="0"/>
          <w:bCs/>
          <w:sz w:val="24"/>
        </w:rPr>
        <w:t>，</w:t>
      </w:r>
      <w:r>
        <w:rPr>
          <w:rFonts w:hint="eastAsia" w:cs="宋体"/>
          <w:b w:val="0"/>
          <w:bCs/>
          <w:sz w:val="24"/>
          <w:highlight w:val="none"/>
        </w:rPr>
        <w:t>预算金额</w:t>
      </w:r>
      <w:r>
        <w:rPr>
          <w:rFonts w:hint="eastAsia" w:cs="宋体"/>
          <w:b w:val="0"/>
          <w:bCs/>
          <w:sz w:val="24"/>
          <w:highlight w:val="none"/>
          <w:lang w:val="en-US" w:eastAsia="zh-CN"/>
        </w:rPr>
        <w:t>21.793</w:t>
      </w:r>
      <w:r>
        <w:rPr>
          <w:rFonts w:hint="eastAsia" w:cs="宋体"/>
          <w:b w:val="0"/>
          <w:bCs/>
          <w:sz w:val="24"/>
          <w:highlight w:val="none"/>
        </w:rPr>
        <w:t>万元。</w:t>
      </w:r>
      <w:r>
        <w:rPr>
          <w:rFonts w:hint="eastAsia" w:cs="宋体"/>
          <w:b w:val="0"/>
          <w:bCs/>
          <w:sz w:val="24"/>
        </w:rPr>
        <w:t>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widowControl/>
        <w:spacing w:line="360" w:lineRule="auto"/>
        <w:jc w:val="left"/>
        <w:rPr>
          <w:rFonts w:hint="eastAsia" w:ascii="宋体" w:hAnsi="宋体" w:eastAsia="宋体" w:cs="宋体"/>
          <w:b w:val="0"/>
          <w:bCs w:val="0"/>
          <w:kern w:val="0"/>
          <w:sz w:val="24"/>
          <w:lang w:eastAsia="zh-CN"/>
        </w:rPr>
      </w:pPr>
      <w:r>
        <w:rPr>
          <w:rFonts w:hint="eastAsia" w:ascii="宋体" w:hAnsi="宋体" w:cs="宋体"/>
          <w:b w:val="0"/>
          <w:bCs w:val="0"/>
          <w:kern w:val="0"/>
          <w:sz w:val="24"/>
          <w:lang w:eastAsia="zh-CN"/>
        </w:rPr>
        <w:t>品目号</w:t>
      </w:r>
      <w:r>
        <w:rPr>
          <w:rFonts w:hint="eastAsia" w:ascii="宋体" w:hAnsi="宋体" w:cs="宋体"/>
          <w:b w:val="0"/>
          <w:bCs w:val="0"/>
          <w:kern w:val="0"/>
          <w:sz w:val="24"/>
          <w:lang w:val="en-US" w:eastAsia="zh-CN"/>
        </w:rPr>
        <w:t>1-1：</w:t>
      </w:r>
      <w:r>
        <w:rPr>
          <w:rFonts w:hint="eastAsia" w:ascii="宋体" w:hAnsi="宋体" w:cs="宋体"/>
          <w:b w:val="0"/>
          <w:bCs w:val="0"/>
          <w:kern w:val="0"/>
          <w:sz w:val="24"/>
        </w:rPr>
        <w:t>平板式长条灯</w:t>
      </w:r>
    </w:p>
    <w:p>
      <w:pPr>
        <w:widowControl/>
        <w:numPr>
          <w:ilvl w:val="-1"/>
          <w:numId w:val="0"/>
        </w:numPr>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规格:长120CM</w:t>
      </w:r>
      <w:r>
        <w:rPr>
          <w:rFonts w:hint="eastAsia" w:ascii="宋体" w:hAnsi="宋体" w:eastAsia="宋体" w:cs="宋体"/>
          <w:b w:val="0"/>
          <w:bCs w:val="0"/>
          <w:kern w:val="0"/>
          <w:sz w:val="24"/>
          <w:szCs w:val="24"/>
          <w:lang w:eastAsia="zh-CN"/>
        </w:rPr>
        <w:t>（允许偏离</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*宽20CM</w:t>
      </w:r>
      <w:r>
        <w:rPr>
          <w:rFonts w:hint="eastAsia" w:ascii="宋体" w:hAnsi="宋体" w:eastAsia="宋体" w:cs="宋体"/>
          <w:b w:val="0"/>
          <w:bCs w:val="0"/>
          <w:kern w:val="0"/>
          <w:sz w:val="24"/>
          <w:szCs w:val="24"/>
          <w:lang w:eastAsia="zh-CN"/>
        </w:rPr>
        <w:t>（允许偏离</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*厚6.5CM</w:t>
      </w:r>
      <w:r>
        <w:rPr>
          <w:rFonts w:hint="eastAsia" w:ascii="宋体" w:hAnsi="宋体" w:eastAsia="宋体" w:cs="宋体"/>
          <w:b w:val="0"/>
          <w:bCs w:val="0"/>
          <w:kern w:val="0"/>
          <w:sz w:val="24"/>
          <w:szCs w:val="24"/>
          <w:lang w:eastAsia="zh-CN"/>
        </w:rPr>
        <w:t>（允许偏离</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lang w:eastAsia="zh-CN"/>
        </w:rPr>
        <w:t>）；</w:t>
      </w:r>
      <w:r>
        <w:rPr>
          <w:rFonts w:hint="eastAsia" w:ascii="宋体" w:hAnsi="宋体" w:cs="宋体"/>
          <w:b w:val="0"/>
          <w:bCs w:val="0"/>
          <w:kern w:val="0"/>
          <w:sz w:val="24"/>
          <w:szCs w:val="24"/>
          <w:lang w:eastAsia="zh-CN"/>
        </w:rPr>
        <w:t>材料厚度：＞</w:t>
      </w:r>
      <w:r>
        <w:rPr>
          <w:rFonts w:hint="eastAsia" w:ascii="宋体" w:hAnsi="宋体" w:cs="宋体"/>
          <w:b w:val="0"/>
          <w:bCs w:val="0"/>
          <w:kern w:val="0"/>
          <w:sz w:val="24"/>
          <w:szCs w:val="24"/>
          <w:lang w:val="en-US" w:eastAsia="zh-CN"/>
        </w:rPr>
        <w:t>0.6MM；</w:t>
      </w:r>
      <w:r>
        <w:rPr>
          <w:rFonts w:hint="eastAsia" w:ascii="宋体" w:hAnsi="宋体" w:eastAsia="宋体" w:cs="宋体"/>
          <w:b w:val="0"/>
          <w:bCs w:val="0"/>
          <w:kern w:val="0"/>
          <w:sz w:val="24"/>
          <w:szCs w:val="24"/>
          <w:lang w:eastAsia="zh-CN"/>
        </w:rPr>
        <w:t>灯罩材料:亚克力，厚度≥0.1CM</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功率:</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65W</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色温:</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6500K</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电压:220V</w:t>
      </w:r>
      <w:r>
        <w:rPr>
          <w:rFonts w:hint="eastAsia" w:ascii="宋体" w:hAnsi="宋体" w:eastAsia="宋体" w:cs="宋体"/>
          <w:b w:val="0"/>
          <w:bCs w:val="0"/>
          <w:kern w:val="0"/>
          <w:sz w:val="24"/>
          <w:szCs w:val="24"/>
          <w:lang w:eastAsia="zh-CN"/>
        </w:rPr>
        <w:t>；灯芯</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lang w:eastAsia="zh-CN"/>
        </w:rPr>
        <w:t>节能灯芯</w:t>
      </w:r>
      <w:r>
        <w:rPr>
          <w:rFonts w:hint="eastAsia" w:ascii="宋体" w:hAnsi="宋体" w:cs="宋体"/>
          <w:b w:val="0"/>
          <w:bCs w:val="0"/>
          <w:kern w:val="0"/>
          <w:sz w:val="24"/>
          <w:szCs w:val="24"/>
          <w:lang w:eastAsia="zh-CN"/>
        </w:rPr>
        <w:t>；</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w:t>
      </w:r>
      <w:r>
        <w:rPr>
          <w:rFonts w:hint="eastAsia" w:ascii="宋体" w:hAnsi="宋体" w:cs="宋体"/>
          <w:b w:val="0"/>
          <w:bCs w:val="0"/>
          <w:kern w:val="0"/>
          <w:sz w:val="24"/>
          <w:lang w:eastAsia="zh-CN"/>
        </w:rPr>
        <w:t>进监舍内拆除原旧灯具及安装新灯具，并清运垃圾。</w:t>
      </w:r>
    </w:p>
    <w:p>
      <w:pPr>
        <w:widowControl/>
        <w:spacing w:line="360" w:lineRule="auto"/>
        <w:jc w:val="left"/>
        <w:rPr>
          <w:rFonts w:hint="eastAsia" w:ascii="宋体" w:hAnsi="宋体" w:cs="宋体"/>
          <w:b w:val="0"/>
          <w:bCs w:val="0"/>
          <w:kern w:val="0"/>
          <w:sz w:val="24"/>
          <w:lang w:eastAsia="zh-CN"/>
        </w:rPr>
      </w:pPr>
    </w:p>
    <w:p>
      <w:pPr>
        <w:widowControl/>
        <w:spacing w:line="360" w:lineRule="auto"/>
        <w:jc w:val="left"/>
        <w:rPr>
          <w:rFonts w:hint="eastAsia" w:ascii="宋体" w:hAnsi="宋体" w:cs="宋体"/>
          <w:b w:val="0"/>
          <w:bCs w:val="0"/>
          <w:kern w:val="0"/>
          <w:sz w:val="24"/>
        </w:rPr>
      </w:pPr>
      <w:r>
        <w:rPr>
          <w:rFonts w:hint="eastAsia" w:ascii="宋体" w:hAnsi="宋体" w:cs="宋体"/>
          <w:b w:val="0"/>
          <w:bCs w:val="0"/>
          <w:kern w:val="0"/>
          <w:sz w:val="24"/>
          <w:lang w:eastAsia="zh-CN"/>
        </w:rPr>
        <w:t>品目号</w:t>
      </w:r>
      <w:r>
        <w:rPr>
          <w:rFonts w:hint="eastAsia" w:ascii="宋体" w:hAnsi="宋体" w:cs="宋体"/>
          <w:b w:val="0"/>
          <w:bCs w:val="0"/>
          <w:kern w:val="0"/>
          <w:sz w:val="24"/>
          <w:lang w:val="en-US" w:eastAsia="zh-CN"/>
        </w:rPr>
        <w:t>1-2：</w:t>
      </w:r>
      <w:r>
        <w:rPr>
          <w:rFonts w:hint="eastAsia" w:ascii="宋体" w:hAnsi="宋体" w:cs="宋体"/>
          <w:b w:val="0"/>
          <w:bCs w:val="0"/>
          <w:kern w:val="0"/>
          <w:sz w:val="24"/>
        </w:rPr>
        <w:t>嵌入式平板灯</w:t>
      </w:r>
    </w:p>
    <w:p>
      <w:pPr>
        <w:widowControl/>
        <w:spacing w:line="360" w:lineRule="auto"/>
        <w:jc w:val="left"/>
        <w:rPr>
          <w:rFonts w:hint="eastAsia" w:ascii="宋体" w:hAnsi="宋体" w:cs="宋体"/>
          <w:b w:val="0"/>
          <w:bCs w:val="0"/>
          <w:kern w:val="0"/>
          <w:sz w:val="24"/>
          <w:lang w:eastAsia="zh-CN"/>
        </w:rPr>
      </w:pPr>
      <w:r>
        <w:rPr>
          <w:rFonts w:hint="eastAsia" w:ascii="宋体" w:hAnsi="宋体" w:cs="宋体"/>
          <w:b w:val="0"/>
          <w:bCs w:val="0"/>
          <w:kern w:val="0"/>
          <w:sz w:val="24"/>
          <w:lang w:val="en-US" w:eastAsia="zh-CN"/>
        </w:rPr>
        <w:t>1、</w:t>
      </w:r>
      <w:r>
        <w:rPr>
          <w:rFonts w:hint="eastAsia" w:ascii="宋体" w:hAnsi="宋体" w:cs="宋体"/>
          <w:b w:val="0"/>
          <w:bCs w:val="0"/>
          <w:kern w:val="0"/>
          <w:sz w:val="24"/>
        </w:rPr>
        <w:t>规格:60CM</w:t>
      </w:r>
      <w:r>
        <w:rPr>
          <w:rFonts w:hint="eastAsia" w:ascii="宋体" w:hAnsi="宋体" w:cs="宋体"/>
          <w:b w:val="0"/>
          <w:bCs w:val="0"/>
          <w:kern w:val="0"/>
          <w:sz w:val="24"/>
          <w:lang w:eastAsia="zh-CN"/>
        </w:rPr>
        <w:t>（允许偏离</w:t>
      </w: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w:t>
      </w:r>
      <w:r>
        <w:rPr>
          <w:rFonts w:hint="eastAsia" w:ascii="宋体" w:hAnsi="宋体" w:cs="宋体"/>
          <w:b w:val="0"/>
          <w:bCs w:val="0"/>
          <w:kern w:val="0"/>
          <w:sz w:val="24"/>
        </w:rPr>
        <w:t>*60CM</w:t>
      </w:r>
      <w:r>
        <w:rPr>
          <w:rFonts w:hint="eastAsia" w:ascii="宋体" w:hAnsi="宋体" w:cs="宋体"/>
          <w:b w:val="0"/>
          <w:bCs w:val="0"/>
          <w:kern w:val="0"/>
          <w:sz w:val="24"/>
          <w:lang w:eastAsia="zh-CN"/>
        </w:rPr>
        <w:t>（允许偏离</w:t>
      </w: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w:t>
      </w:r>
      <w:r>
        <w:rPr>
          <w:rFonts w:hint="eastAsia" w:ascii="宋体" w:hAnsi="宋体" w:cs="宋体"/>
          <w:b w:val="0"/>
          <w:bCs w:val="0"/>
          <w:kern w:val="0"/>
          <w:sz w:val="24"/>
        </w:rPr>
        <w:t>42W</w:t>
      </w:r>
      <w:r>
        <w:rPr>
          <w:rFonts w:hint="eastAsia" w:ascii="宋体" w:hAnsi="宋体" w:cs="宋体"/>
          <w:b w:val="0"/>
          <w:bCs w:val="0"/>
          <w:kern w:val="0"/>
          <w:sz w:val="24"/>
          <w:lang w:eastAsia="zh-CN"/>
        </w:rPr>
        <w:t>；</w:t>
      </w:r>
      <w:r>
        <w:rPr>
          <w:rFonts w:hint="eastAsia" w:ascii="宋体" w:hAnsi="宋体" w:cs="宋体"/>
          <w:b w:val="0"/>
          <w:bCs w:val="0"/>
          <w:kern w:val="0"/>
          <w:sz w:val="24"/>
        </w:rPr>
        <w:t>功率:</w:t>
      </w:r>
      <w:r>
        <w:rPr>
          <w:rFonts w:hint="eastAsia" w:ascii="宋体" w:hAnsi="宋体" w:cs="宋体"/>
          <w:b w:val="0"/>
          <w:bCs w:val="0"/>
          <w:kern w:val="0"/>
          <w:sz w:val="24"/>
          <w:lang w:eastAsia="zh-CN"/>
        </w:rPr>
        <w:t>≥</w:t>
      </w:r>
      <w:r>
        <w:rPr>
          <w:rFonts w:hint="eastAsia" w:ascii="宋体" w:hAnsi="宋体" w:cs="宋体"/>
          <w:b w:val="0"/>
          <w:bCs w:val="0"/>
          <w:kern w:val="0"/>
          <w:sz w:val="24"/>
        </w:rPr>
        <w:t>42W</w:t>
      </w:r>
      <w:r>
        <w:rPr>
          <w:rFonts w:hint="eastAsia" w:ascii="宋体" w:hAnsi="宋体" w:cs="宋体"/>
          <w:b w:val="0"/>
          <w:bCs w:val="0"/>
          <w:kern w:val="0"/>
          <w:sz w:val="24"/>
          <w:lang w:eastAsia="zh-CN"/>
        </w:rPr>
        <w:t>；</w:t>
      </w:r>
      <w:r>
        <w:rPr>
          <w:rFonts w:hint="eastAsia" w:ascii="宋体" w:hAnsi="宋体" w:cs="宋体"/>
          <w:b w:val="0"/>
          <w:bCs w:val="0"/>
          <w:kern w:val="0"/>
          <w:sz w:val="24"/>
        </w:rPr>
        <w:t>色温:</w:t>
      </w:r>
      <w:r>
        <w:rPr>
          <w:rFonts w:hint="eastAsia" w:ascii="宋体" w:hAnsi="宋体" w:cs="宋体"/>
          <w:b w:val="0"/>
          <w:bCs w:val="0"/>
          <w:kern w:val="0"/>
          <w:sz w:val="24"/>
          <w:lang w:eastAsia="zh-CN"/>
        </w:rPr>
        <w:t>≥</w:t>
      </w:r>
      <w:r>
        <w:rPr>
          <w:rFonts w:hint="eastAsia" w:ascii="宋体" w:hAnsi="宋体" w:cs="宋体"/>
          <w:b w:val="0"/>
          <w:bCs w:val="0"/>
          <w:kern w:val="0"/>
          <w:sz w:val="24"/>
        </w:rPr>
        <w:t>6500K</w:t>
      </w:r>
      <w:r>
        <w:rPr>
          <w:rFonts w:hint="eastAsia" w:ascii="宋体" w:hAnsi="宋体" w:cs="宋体"/>
          <w:b w:val="0"/>
          <w:bCs w:val="0"/>
          <w:kern w:val="0"/>
          <w:sz w:val="24"/>
          <w:lang w:eastAsia="zh-CN"/>
        </w:rPr>
        <w:t>；</w:t>
      </w:r>
      <w:r>
        <w:rPr>
          <w:rFonts w:hint="eastAsia" w:ascii="宋体" w:hAnsi="宋体" w:cs="宋体"/>
          <w:b w:val="0"/>
          <w:bCs w:val="0"/>
          <w:kern w:val="0"/>
          <w:sz w:val="24"/>
        </w:rPr>
        <w:t>电压:220V</w:t>
      </w:r>
      <w:r>
        <w:rPr>
          <w:rFonts w:hint="eastAsia" w:ascii="宋体" w:hAnsi="宋体" w:cs="宋体"/>
          <w:b w:val="0"/>
          <w:bCs w:val="0"/>
          <w:kern w:val="0"/>
          <w:sz w:val="24"/>
          <w:lang w:eastAsia="zh-CN"/>
        </w:rPr>
        <w:t>；</w:t>
      </w:r>
      <w:r>
        <w:rPr>
          <w:rFonts w:hint="eastAsia" w:ascii="宋体" w:hAnsi="宋体" w:eastAsia="宋体" w:cs="宋体"/>
          <w:b w:val="0"/>
          <w:bCs w:val="0"/>
          <w:kern w:val="0"/>
          <w:sz w:val="24"/>
          <w:szCs w:val="24"/>
          <w:lang w:eastAsia="zh-CN"/>
        </w:rPr>
        <w:t>灯芯</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lang w:eastAsia="zh-CN"/>
        </w:rPr>
        <w:t>节能灯芯</w:t>
      </w:r>
      <w:r>
        <w:rPr>
          <w:rFonts w:hint="eastAsia" w:ascii="宋体" w:hAnsi="宋体" w:cs="宋体"/>
          <w:b w:val="0"/>
          <w:bCs w:val="0"/>
          <w:kern w:val="0"/>
          <w:sz w:val="24"/>
          <w:szCs w:val="24"/>
          <w:lang w:eastAsia="zh-CN"/>
        </w:rPr>
        <w:t>；</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w:t>
      </w:r>
      <w:r>
        <w:rPr>
          <w:rFonts w:hint="eastAsia" w:ascii="宋体" w:hAnsi="宋体" w:cs="宋体"/>
          <w:b w:val="0"/>
          <w:bCs w:val="0"/>
          <w:kern w:val="0"/>
          <w:sz w:val="24"/>
          <w:lang w:eastAsia="zh-CN"/>
        </w:rPr>
        <w:t>进监舍内拆除原旧灯具及安装新灯具，并清运垃圾。</w:t>
      </w:r>
    </w:p>
    <w:p>
      <w:pPr>
        <w:widowControl/>
        <w:spacing w:line="360" w:lineRule="auto"/>
        <w:jc w:val="left"/>
        <w:rPr>
          <w:rFonts w:hint="eastAsia" w:ascii="宋体" w:hAnsi="宋体" w:cs="宋体"/>
          <w:b w:val="0"/>
          <w:bCs w:val="0"/>
          <w:kern w:val="0"/>
          <w:sz w:val="24"/>
          <w:lang w:eastAsia="zh-CN"/>
        </w:rPr>
      </w:pPr>
    </w:p>
    <w:p>
      <w:pPr>
        <w:widowControl/>
        <w:spacing w:line="360" w:lineRule="auto"/>
        <w:jc w:val="left"/>
        <w:rPr>
          <w:rFonts w:hint="eastAsia" w:ascii="宋体" w:hAnsi="宋体" w:cs="宋体"/>
          <w:b w:val="0"/>
          <w:bCs w:val="0"/>
          <w:kern w:val="0"/>
          <w:sz w:val="24"/>
        </w:rPr>
      </w:pPr>
      <w:r>
        <w:rPr>
          <w:rFonts w:hint="eastAsia" w:ascii="宋体" w:hAnsi="宋体" w:cs="宋体"/>
          <w:b w:val="0"/>
          <w:bCs w:val="0"/>
          <w:kern w:val="0"/>
          <w:sz w:val="24"/>
          <w:lang w:eastAsia="zh-CN"/>
        </w:rPr>
        <w:t>品目号</w:t>
      </w:r>
      <w:r>
        <w:rPr>
          <w:rFonts w:hint="eastAsia" w:ascii="宋体" w:hAnsi="宋体" w:cs="宋体"/>
          <w:b w:val="0"/>
          <w:bCs w:val="0"/>
          <w:kern w:val="0"/>
          <w:sz w:val="24"/>
          <w:lang w:val="en-US" w:eastAsia="zh-CN"/>
        </w:rPr>
        <w:t>1-3：</w:t>
      </w:r>
      <w:r>
        <w:rPr>
          <w:rFonts w:hint="eastAsia" w:ascii="宋体" w:hAnsi="宋体" w:cs="宋体"/>
          <w:b w:val="0"/>
          <w:bCs w:val="0"/>
          <w:kern w:val="0"/>
          <w:sz w:val="24"/>
        </w:rPr>
        <w:t>吸顶式吸顶灯</w:t>
      </w:r>
    </w:p>
    <w:p>
      <w:pPr>
        <w:widowControl/>
        <w:spacing w:line="360" w:lineRule="auto"/>
        <w:jc w:val="left"/>
        <w:rPr>
          <w:rFonts w:hint="eastAsia" w:ascii="宋体" w:hAnsi="宋体" w:cs="宋体"/>
          <w:b w:val="0"/>
          <w:bCs w:val="0"/>
          <w:kern w:val="0"/>
          <w:sz w:val="24"/>
          <w:lang w:eastAsia="zh-CN"/>
        </w:rPr>
      </w:pPr>
      <w:r>
        <w:rPr>
          <w:rFonts w:hint="eastAsia" w:ascii="宋体" w:hAnsi="宋体" w:cs="宋体"/>
          <w:b w:val="0"/>
          <w:bCs w:val="0"/>
          <w:kern w:val="0"/>
          <w:sz w:val="24"/>
          <w:lang w:val="en-US" w:eastAsia="zh-CN"/>
        </w:rPr>
        <w:t>1、</w:t>
      </w:r>
      <w:r>
        <w:rPr>
          <w:rFonts w:hint="eastAsia" w:ascii="宋体" w:hAnsi="宋体" w:cs="宋体"/>
          <w:b w:val="0"/>
          <w:bCs w:val="0"/>
          <w:kern w:val="0"/>
          <w:sz w:val="24"/>
        </w:rPr>
        <w:t>规格:直径</w:t>
      </w:r>
      <w:r>
        <w:rPr>
          <w:rFonts w:hint="eastAsia" w:ascii="宋体" w:hAnsi="宋体" w:cs="宋体"/>
          <w:b w:val="0"/>
          <w:bCs w:val="0"/>
          <w:kern w:val="0"/>
          <w:sz w:val="24"/>
          <w:lang w:eastAsia="zh-CN"/>
        </w:rPr>
        <w:t>≥</w:t>
      </w:r>
      <w:r>
        <w:rPr>
          <w:rFonts w:hint="eastAsia" w:ascii="宋体" w:hAnsi="宋体" w:cs="宋体"/>
          <w:b w:val="0"/>
          <w:bCs w:val="0"/>
          <w:kern w:val="0"/>
          <w:sz w:val="24"/>
        </w:rPr>
        <w:t>45CM</w:t>
      </w:r>
      <w:r>
        <w:rPr>
          <w:rFonts w:hint="eastAsia" w:ascii="宋体" w:hAnsi="宋体" w:cs="宋体"/>
          <w:b w:val="0"/>
          <w:bCs w:val="0"/>
          <w:kern w:val="0"/>
          <w:sz w:val="24"/>
          <w:lang w:eastAsia="zh-CN"/>
        </w:rPr>
        <w:t>；</w:t>
      </w:r>
      <w:r>
        <w:rPr>
          <w:rFonts w:hint="eastAsia" w:ascii="宋体" w:hAnsi="宋体" w:cs="宋体"/>
          <w:b w:val="0"/>
          <w:bCs w:val="0"/>
          <w:kern w:val="0"/>
          <w:sz w:val="24"/>
        </w:rPr>
        <w:t>功率:</w:t>
      </w:r>
      <w:r>
        <w:rPr>
          <w:rFonts w:hint="eastAsia" w:ascii="宋体" w:hAnsi="宋体" w:cs="宋体"/>
          <w:b w:val="0"/>
          <w:bCs w:val="0"/>
          <w:kern w:val="0"/>
          <w:sz w:val="24"/>
          <w:lang w:eastAsia="zh-CN"/>
        </w:rPr>
        <w:t>≥</w:t>
      </w:r>
      <w:r>
        <w:rPr>
          <w:rFonts w:hint="eastAsia" w:ascii="宋体" w:hAnsi="宋体" w:cs="宋体"/>
          <w:b w:val="0"/>
          <w:bCs w:val="0"/>
          <w:kern w:val="0"/>
          <w:sz w:val="24"/>
        </w:rPr>
        <w:t>42W</w:t>
      </w:r>
      <w:r>
        <w:rPr>
          <w:rFonts w:hint="eastAsia" w:ascii="宋体" w:hAnsi="宋体" w:cs="宋体"/>
          <w:b w:val="0"/>
          <w:bCs w:val="0"/>
          <w:kern w:val="0"/>
          <w:sz w:val="24"/>
          <w:lang w:eastAsia="zh-CN"/>
        </w:rPr>
        <w:t>；</w:t>
      </w:r>
      <w:r>
        <w:rPr>
          <w:rFonts w:hint="eastAsia" w:ascii="宋体" w:hAnsi="宋体" w:cs="宋体"/>
          <w:b w:val="0"/>
          <w:bCs w:val="0"/>
          <w:kern w:val="0"/>
          <w:sz w:val="24"/>
        </w:rPr>
        <w:t>色温:</w:t>
      </w:r>
      <w:r>
        <w:rPr>
          <w:rFonts w:hint="eastAsia" w:ascii="宋体" w:hAnsi="宋体" w:cs="宋体"/>
          <w:b w:val="0"/>
          <w:bCs w:val="0"/>
          <w:kern w:val="0"/>
          <w:sz w:val="24"/>
          <w:lang w:eastAsia="zh-CN"/>
        </w:rPr>
        <w:t>≥</w:t>
      </w:r>
      <w:r>
        <w:rPr>
          <w:rFonts w:hint="eastAsia" w:ascii="宋体" w:hAnsi="宋体" w:cs="宋体"/>
          <w:b w:val="0"/>
          <w:bCs w:val="0"/>
          <w:kern w:val="0"/>
          <w:sz w:val="24"/>
        </w:rPr>
        <w:t>6500K</w:t>
      </w:r>
      <w:r>
        <w:rPr>
          <w:rFonts w:hint="eastAsia" w:ascii="宋体" w:hAnsi="宋体" w:cs="宋体"/>
          <w:b w:val="0"/>
          <w:bCs w:val="0"/>
          <w:kern w:val="0"/>
          <w:sz w:val="24"/>
          <w:lang w:eastAsia="zh-CN"/>
        </w:rPr>
        <w:t>；</w:t>
      </w:r>
      <w:r>
        <w:rPr>
          <w:rFonts w:hint="eastAsia" w:ascii="宋体" w:hAnsi="宋体" w:cs="宋体"/>
          <w:b w:val="0"/>
          <w:bCs w:val="0"/>
          <w:kern w:val="0"/>
          <w:sz w:val="24"/>
        </w:rPr>
        <w:t>电压:220V</w:t>
      </w:r>
      <w:r>
        <w:rPr>
          <w:rFonts w:hint="eastAsia" w:ascii="宋体" w:hAnsi="宋体" w:cs="宋体"/>
          <w:b w:val="0"/>
          <w:bCs w:val="0"/>
          <w:kern w:val="0"/>
          <w:sz w:val="24"/>
          <w:lang w:eastAsia="zh-CN"/>
        </w:rPr>
        <w:t>；</w:t>
      </w:r>
      <w:r>
        <w:rPr>
          <w:rFonts w:hint="eastAsia" w:ascii="宋体" w:hAnsi="宋体" w:eastAsia="宋体" w:cs="宋体"/>
          <w:b w:val="0"/>
          <w:bCs w:val="0"/>
          <w:kern w:val="0"/>
          <w:sz w:val="24"/>
          <w:szCs w:val="24"/>
          <w:lang w:eastAsia="zh-CN"/>
        </w:rPr>
        <w:t>灯芯</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lang w:eastAsia="zh-CN"/>
        </w:rPr>
        <w:t>节能灯芯</w:t>
      </w:r>
      <w:r>
        <w:rPr>
          <w:rFonts w:hint="eastAsia" w:ascii="宋体" w:hAnsi="宋体" w:cs="宋体"/>
          <w:b w:val="0"/>
          <w:bCs w:val="0"/>
          <w:kern w:val="0"/>
          <w:sz w:val="24"/>
          <w:szCs w:val="24"/>
          <w:lang w:eastAsia="zh-CN"/>
        </w:rPr>
        <w:t>；</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w:t>
      </w:r>
      <w:r>
        <w:rPr>
          <w:rFonts w:hint="eastAsia" w:ascii="宋体" w:hAnsi="宋体" w:cs="宋体"/>
          <w:b w:val="0"/>
          <w:bCs w:val="0"/>
          <w:kern w:val="0"/>
          <w:sz w:val="24"/>
          <w:lang w:eastAsia="zh-CN"/>
        </w:rPr>
        <w:t>进监舍内拆除原旧灯具及安装新灯具，并清运垃圾。</w:t>
      </w:r>
    </w:p>
    <w:p>
      <w:pPr>
        <w:widowControl/>
        <w:spacing w:line="360" w:lineRule="auto"/>
        <w:jc w:val="left"/>
        <w:rPr>
          <w:rFonts w:hint="eastAsia" w:ascii="宋体" w:hAnsi="宋体" w:cs="宋体"/>
          <w:b w:val="0"/>
          <w:bCs w:val="0"/>
          <w:kern w:val="0"/>
          <w:sz w:val="24"/>
          <w:lang w:eastAsia="zh-CN"/>
        </w:rPr>
      </w:pPr>
    </w:p>
    <w:p>
      <w:pPr>
        <w:widowControl/>
        <w:spacing w:line="360" w:lineRule="auto"/>
        <w:jc w:val="left"/>
        <w:rPr>
          <w:rFonts w:hint="eastAsia" w:ascii="宋体" w:hAnsi="宋体" w:cs="宋体"/>
          <w:b w:val="0"/>
          <w:bCs w:val="0"/>
          <w:kern w:val="0"/>
          <w:sz w:val="24"/>
        </w:rPr>
      </w:pPr>
      <w:r>
        <w:rPr>
          <w:rFonts w:hint="eastAsia" w:ascii="宋体" w:hAnsi="宋体" w:cs="宋体"/>
          <w:b w:val="0"/>
          <w:bCs w:val="0"/>
          <w:kern w:val="0"/>
          <w:sz w:val="24"/>
          <w:lang w:eastAsia="zh-CN"/>
        </w:rPr>
        <w:t>品目号</w:t>
      </w:r>
      <w:r>
        <w:rPr>
          <w:rFonts w:hint="eastAsia" w:ascii="宋体" w:hAnsi="宋体" w:cs="宋体"/>
          <w:b w:val="0"/>
          <w:bCs w:val="0"/>
          <w:kern w:val="0"/>
          <w:sz w:val="24"/>
          <w:lang w:val="en-US" w:eastAsia="zh-CN"/>
        </w:rPr>
        <w:t>1-4：</w:t>
      </w:r>
      <w:r>
        <w:rPr>
          <w:rFonts w:hint="eastAsia" w:ascii="宋体" w:hAnsi="宋体" w:cs="宋体"/>
          <w:b w:val="0"/>
          <w:bCs w:val="0"/>
          <w:kern w:val="0"/>
          <w:sz w:val="24"/>
        </w:rPr>
        <w:t>挂壁式三防灯</w:t>
      </w:r>
    </w:p>
    <w:p>
      <w:pPr>
        <w:widowControl/>
        <w:spacing w:line="360"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1、</w:t>
      </w:r>
      <w:r>
        <w:rPr>
          <w:rFonts w:hint="eastAsia" w:ascii="宋体" w:hAnsi="宋体" w:cs="宋体"/>
          <w:b w:val="0"/>
          <w:bCs w:val="0"/>
          <w:kern w:val="0"/>
          <w:sz w:val="24"/>
        </w:rPr>
        <w:t>规格:长26CM</w:t>
      </w:r>
      <w:r>
        <w:rPr>
          <w:rFonts w:hint="eastAsia" w:ascii="宋体" w:hAnsi="宋体" w:cs="宋体"/>
          <w:b w:val="0"/>
          <w:bCs w:val="0"/>
          <w:kern w:val="0"/>
          <w:sz w:val="24"/>
          <w:lang w:eastAsia="zh-CN"/>
        </w:rPr>
        <w:t>（允许偏离</w:t>
      </w: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w:t>
      </w:r>
      <w:r>
        <w:rPr>
          <w:rFonts w:hint="eastAsia" w:ascii="宋体" w:hAnsi="宋体" w:cs="宋体"/>
          <w:b w:val="0"/>
          <w:bCs w:val="0"/>
          <w:kern w:val="0"/>
          <w:sz w:val="24"/>
        </w:rPr>
        <w:t>*宽16CM</w:t>
      </w:r>
      <w:r>
        <w:rPr>
          <w:rFonts w:hint="eastAsia" w:ascii="宋体" w:hAnsi="宋体" w:cs="宋体"/>
          <w:b w:val="0"/>
          <w:bCs w:val="0"/>
          <w:kern w:val="0"/>
          <w:sz w:val="24"/>
          <w:lang w:eastAsia="zh-CN"/>
        </w:rPr>
        <w:t>（允许偏离</w:t>
      </w: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w:t>
      </w:r>
      <w:r>
        <w:rPr>
          <w:rFonts w:hint="eastAsia" w:ascii="宋体" w:hAnsi="宋体" w:cs="宋体"/>
          <w:b w:val="0"/>
          <w:bCs w:val="0"/>
          <w:kern w:val="0"/>
          <w:sz w:val="24"/>
        </w:rPr>
        <w:t>*高11CM</w:t>
      </w:r>
      <w:r>
        <w:rPr>
          <w:rFonts w:hint="eastAsia" w:ascii="宋体" w:hAnsi="宋体" w:cs="宋体"/>
          <w:b w:val="0"/>
          <w:bCs w:val="0"/>
          <w:kern w:val="0"/>
          <w:sz w:val="24"/>
          <w:lang w:eastAsia="zh-CN"/>
        </w:rPr>
        <w:t>（允许偏离</w:t>
      </w: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w:t>
      </w:r>
      <w:r>
        <w:rPr>
          <w:rFonts w:hint="eastAsia" w:ascii="宋体" w:hAnsi="宋体" w:cs="宋体"/>
          <w:b w:val="0"/>
          <w:bCs w:val="0"/>
          <w:kern w:val="0"/>
          <w:sz w:val="24"/>
        </w:rPr>
        <w:t>功率:</w:t>
      </w:r>
      <w:r>
        <w:rPr>
          <w:rFonts w:hint="eastAsia" w:ascii="宋体" w:hAnsi="宋体" w:cs="宋体"/>
          <w:b w:val="0"/>
          <w:bCs w:val="0"/>
          <w:kern w:val="0"/>
          <w:sz w:val="24"/>
          <w:lang w:eastAsia="zh-CN"/>
        </w:rPr>
        <w:t>≥</w:t>
      </w:r>
      <w:r>
        <w:rPr>
          <w:rFonts w:hint="eastAsia" w:ascii="宋体" w:hAnsi="宋体" w:cs="宋体"/>
          <w:b w:val="0"/>
          <w:bCs w:val="0"/>
          <w:kern w:val="0"/>
          <w:sz w:val="24"/>
        </w:rPr>
        <w:t>30W</w:t>
      </w:r>
      <w:r>
        <w:rPr>
          <w:rFonts w:hint="eastAsia" w:ascii="宋体" w:hAnsi="宋体" w:cs="宋体"/>
          <w:b w:val="0"/>
          <w:bCs w:val="0"/>
          <w:kern w:val="0"/>
          <w:sz w:val="24"/>
          <w:lang w:eastAsia="zh-CN"/>
        </w:rPr>
        <w:t>；</w:t>
      </w:r>
      <w:r>
        <w:rPr>
          <w:rFonts w:hint="eastAsia" w:ascii="宋体" w:hAnsi="宋体" w:cs="宋体"/>
          <w:b w:val="0"/>
          <w:bCs w:val="0"/>
          <w:kern w:val="0"/>
          <w:sz w:val="24"/>
        </w:rPr>
        <w:t>电压:220V</w:t>
      </w:r>
      <w:r>
        <w:rPr>
          <w:rFonts w:hint="eastAsia" w:ascii="宋体" w:hAnsi="宋体" w:cs="宋体"/>
          <w:b w:val="0"/>
          <w:bCs w:val="0"/>
          <w:kern w:val="0"/>
          <w:sz w:val="24"/>
          <w:lang w:eastAsia="zh-CN"/>
        </w:rPr>
        <w:t>；</w:t>
      </w:r>
      <w:r>
        <w:rPr>
          <w:rFonts w:hint="eastAsia" w:ascii="宋体" w:hAnsi="宋体" w:eastAsia="宋体" w:cs="宋体"/>
          <w:b w:val="0"/>
          <w:bCs w:val="0"/>
          <w:kern w:val="0"/>
          <w:sz w:val="24"/>
          <w:szCs w:val="24"/>
          <w:lang w:eastAsia="zh-CN"/>
        </w:rPr>
        <w:t>灯芯</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lang w:eastAsia="zh-CN"/>
        </w:rPr>
        <w:t>节能灯芯</w:t>
      </w:r>
      <w:r>
        <w:rPr>
          <w:rFonts w:hint="eastAsia" w:ascii="宋体" w:hAnsi="宋体" w:cs="宋体"/>
          <w:b w:val="0"/>
          <w:bCs w:val="0"/>
          <w:kern w:val="0"/>
          <w:sz w:val="24"/>
        </w:rPr>
        <w:t>。</w:t>
      </w:r>
    </w:p>
    <w:p>
      <w:pPr>
        <w:pStyle w:val="2"/>
        <w:ind w:left="0" w:leftChars="0" w:firstLine="0"/>
        <w:rPr>
          <w:rFonts w:hint="eastAsia"/>
        </w:rPr>
      </w:pPr>
      <w:r>
        <w:rPr>
          <w:rFonts w:hint="eastAsia" w:ascii="宋体" w:hAnsi="宋体" w:eastAsia="宋体" w:cs="宋体"/>
          <w:sz w:val="24"/>
          <w:szCs w:val="24"/>
          <w:lang w:val="en-US" w:eastAsia="zh-CN"/>
        </w:rPr>
        <w:t>2、供应商须</w:t>
      </w:r>
      <w:r>
        <w:rPr>
          <w:rFonts w:hint="eastAsia" w:ascii="宋体" w:hAnsi="宋体" w:cs="宋体"/>
          <w:b w:val="0"/>
          <w:bCs w:val="0"/>
          <w:kern w:val="0"/>
          <w:sz w:val="24"/>
          <w:lang w:eastAsia="zh-CN"/>
        </w:rPr>
        <w:t>进监舍内拆除原旧灯具及安装新灯具，并清运垃圾。</w:t>
      </w:r>
    </w:p>
    <w:p>
      <w:pPr>
        <w:pStyle w:val="2"/>
        <w:ind w:left="0" w:leftChars="0" w:firstLine="0"/>
        <w:rPr>
          <w:rFonts w:hint="eastAsia"/>
        </w:rPr>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2.交付时间：合同签订后30</w:t>
      </w:r>
      <w:r>
        <w:rPr>
          <w:rFonts w:hint="eastAsia" w:ascii="宋体" w:hAnsi="宋体" w:cs="宋体"/>
          <w:b/>
          <w:bCs/>
          <w:kern w:val="0"/>
          <w:sz w:val="24"/>
          <w:lang w:eastAsia="zh-CN"/>
        </w:rPr>
        <w:t>个工作日</w:t>
      </w:r>
      <w:r>
        <w:rPr>
          <w:rFonts w:hint="eastAsia" w:ascii="宋体" w:hAnsi="宋体" w:cs="宋体"/>
          <w:b/>
          <w:bCs/>
          <w:kern w:val="0"/>
          <w:sz w:val="24"/>
        </w:rPr>
        <w:t>内交货</w:t>
      </w:r>
      <w:r>
        <w:rPr>
          <w:rFonts w:hint="eastAsia" w:ascii="宋体" w:hAnsi="宋体" w:cs="宋体"/>
          <w:b/>
          <w:bCs/>
          <w:kern w:val="0"/>
          <w:sz w:val="24"/>
          <w:lang w:eastAsia="zh-CN"/>
        </w:rPr>
        <w:t>安装</w:t>
      </w:r>
      <w:r>
        <w:rPr>
          <w:rFonts w:hint="eastAsia" w:ascii="宋体" w:hAnsi="宋体" w:cs="宋体"/>
          <w:b/>
          <w:bCs/>
          <w:kern w:val="0"/>
          <w:sz w:val="24"/>
        </w:rPr>
        <w:t>完毕。</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3.交付条件：验收合格。</w:t>
      </w:r>
    </w:p>
    <w:p>
      <w:pPr>
        <w:pStyle w:val="3"/>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5</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5 </w:t>
      </w:r>
      <w:r>
        <w:rPr>
          <w:rFonts w:hint="eastAsia" w:ascii="宋体" w:hAnsi="宋体" w:cs="宋体"/>
          <w:b/>
          <w:bCs/>
          <w:kern w:val="0"/>
          <w:sz w:val="24"/>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kern w:val="0"/>
          <w:sz w:val="24"/>
        </w:rPr>
        <w:t>。履约保证金在成交供应商履行完合同约定的全部事项（包含</w:t>
      </w:r>
      <w:r>
        <w:rPr>
          <w:rFonts w:hint="eastAsia" w:ascii="宋体" w:hAnsi="宋体" w:cs="宋体"/>
          <w:b/>
          <w:bCs/>
          <w:sz w:val="24"/>
        </w:rPr>
        <w:t>保修期</w:t>
      </w:r>
      <w:r>
        <w:rPr>
          <w:rFonts w:hint="eastAsia" w:ascii="宋体" w:hAnsi="宋体" w:cs="宋体"/>
          <w:b/>
          <w:bCs/>
          <w:kern w:val="0"/>
          <w:sz w:val="24"/>
        </w:rPr>
        <w:t>）且双方无未了事项的前提下，采购人在收到成交供应商提交书面申请等材料后30日内无息退还。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5.验收方式：按照国家相关标准、行业标准及网上竞价文件及合同要求执行。</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w:t>
      </w:r>
      <w:r>
        <w:rPr>
          <w:rFonts w:ascii="宋体" w:hAnsi="宋体" w:cs="宋体"/>
          <w:b/>
          <w:bCs/>
          <w:sz w:val="24"/>
        </w:rPr>
        <w:t>.2</w:t>
      </w:r>
      <w:r>
        <w:rPr>
          <w:rFonts w:hint="eastAsia" w:ascii="宋体" w:hAnsi="宋体" w:cs="宋体"/>
          <w:b/>
          <w:bCs/>
          <w:sz w:val="24"/>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rPr>
        <w:t>15</w:t>
      </w:r>
      <w:r>
        <w:rPr>
          <w:rFonts w:hint="eastAsia" w:ascii="宋体" w:hAnsi="宋体" w:cs="宋体"/>
          <w:b/>
          <w:bCs/>
          <w:sz w:val="24"/>
        </w:rPr>
        <w:t>日内无条件免费更换，直至验收合格交付使用。</w:t>
      </w:r>
    </w:p>
    <w:p>
      <w:pPr>
        <w:widowControl/>
        <w:tabs>
          <w:tab w:val="left" w:pos="900"/>
          <w:tab w:val="left" w:pos="1100"/>
        </w:tabs>
        <w:spacing w:line="360" w:lineRule="auto"/>
        <w:ind w:left="482"/>
        <w:textAlignment w:val="baseline"/>
        <w:rPr>
          <w:rFonts w:hAnsi="宋体" w:cs="宋体"/>
          <w:b/>
          <w:bCs/>
        </w:rPr>
      </w:pPr>
      <w:r>
        <w:rPr>
          <w:rFonts w:hint="eastAsia" w:ascii="宋体" w:hAnsi="宋体" w:cs="宋体"/>
          <w:b/>
          <w:bCs/>
          <w:sz w:val="24"/>
        </w:rPr>
        <w:t>5</w:t>
      </w:r>
      <w:r>
        <w:rPr>
          <w:rFonts w:ascii="宋体" w:hAnsi="宋体" w:cs="宋体"/>
          <w:b/>
          <w:bCs/>
          <w:sz w:val="24"/>
        </w:rPr>
        <w:t>.3</w:t>
      </w:r>
      <w:r>
        <w:rPr>
          <w:rFonts w:hint="eastAsia" w:ascii="宋体" w:hAnsi="宋体" w:cs="宋体"/>
          <w:b/>
          <w:bCs/>
          <w:sz w:val="24"/>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w:t>
      </w:r>
      <w:r>
        <w:rPr>
          <w:rFonts w:ascii="宋体" w:hAnsi="宋体" w:cs="宋体"/>
          <w:b/>
          <w:bCs/>
          <w:sz w:val="24"/>
        </w:rPr>
        <w:t>.4</w:t>
      </w:r>
      <w:r>
        <w:rPr>
          <w:rFonts w:hint="eastAsia" w:ascii="宋体" w:hAnsi="宋体" w:cs="宋体"/>
          <w:b/>
          <w:bCs/>
          <w:sz w:val="24"/>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ascii="宋体" w:hAnsi="宋体" w:cs="宋体"/>
          <w:b w:val="0"/>
          <w:bCs w:val="0"/>
          <w:sz w:val="24"/>
        </w:rPr>
      </w:pPr>
      <w:r>
        <w:rPr>
          <w:rFonts w:hint="eastAsia" w:ascii="宋体" w:hAnsi="宋体" w:cs="宋体"/>
          <w:b/>
          <w:bCs/>
          <w:sz w:val="24"/>
        </w:rPr>
        <w:t>6.支付方式：在货物安装调试完毕、经采购人验收合格后，成交供应商提供增值税</w:t>
      </w:r>
      <w:r>
        <w:rPr>
          <w:rFonts w:hint="eastAsia" w:ascii="宋体" w:hAnsi="宋体" w:cs="宋体"/>
          <w:b/>
          <w:bCs/>
          <w:sz w:val="24"/>
          <w:lang w:eastAsia="zh-CN"/>
        </w:rPr>
        <w:t>普通</w:t>
      </w:r>
      <w:r>
        <w:rPr>
          <w:rStyle w:val="23"/>
          <w:rFonts w:hint="eastAsia" w:ascii="宋体" w:hAnsi="宋体" w:cs="宋体"/>
          <w:sz w:val="24"/>
        </w:rPr>
        <w:t>发票及相关材料，采购人在收到上述发票及材料后</w:t>
      </w:r>
      <w:r>
        <w:rPr>
          <w:rStyle w:val="23"/>
          <w:rFonts w:hint="eastAsia" w:ascii="宋体" w:hAnsi="宋体" w:cs="宋体"/>
          <w:sz w:val="24"/>
          <w:lang w:val="en-US" w:eastAsia="zh-CN"/>
        </w:rPr>
        <w:t>10个工作日</w:t>
      </w:r>
      <w:r>
        <w:rPr>
          <w:rStyle w:val="23"/>
          <w:rFonts w:hint="eastAsia" w:ascii="宋体" w:hAnsi="宋体" w:cs="宋体"/>
          <w:sz w:val="24"/>
        </w:rPr>
        <w:t>内支付</w:t>
      </w:r>
      <w:r>
        <w:rPr>
          <w:rFonts w:hint="eastAsia" w:ascii="宋体" w:hAnsi="宋体" w:cs="宋体"/>
          <w:b/>
          <w:bCs/>
          <w:sz w:val="24"/>
        </w:rPr>
        <w:t>合同金额的100%</w:t>
      </w:r>
      <w:r>
        <w:rPr>
          <w:rStyle w:val="23"/>
          <w:rFonts w:hint="eastAsia" w:ascii="宋体" w:hAnsi="宋体" w:cs="宋体"/>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或退货，直至符合采购要求为止，由此造成的损失由采购人承担。</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9.售后服务</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9.1成交供应商提供所有货物的免费售后维保时间自验收合格之日起为</w:t>
      </w:r>
      <w:r>
        <w:rPr>
          <w:rFonts w:hint="eastAsia" w:ascii="宋体" w:hAnsi="宋体" w:cs="宋体"/>
          <w:b/>
          <w:bCs/>
          <w:sz w:val="24"/>
          <w:lang w:val="en-US" w:eastAsia="zh-CN"/>
        </w:rPr>
        <w:t>3</w:t>
      </w:r>
      <w:r>
        <w:rPr>
          <w:rFonts w:hint="eastAsia" w:ascii="宋体" w:hAnsi="宋体" w:cs="宋体"/>
          <w:b/>
          <w:bCs/>
          <w:sz w:val="24"/>
        </w:rPr>
        <w:t>年，售后维保期内如有非人为因素导致的损坏或故障，成交供应商应免费上门售后服务并免费维修免费更换配件。成交供应商在接到采购人故障通知后2小时内电话响应, 在</w:t>
      </w:r>
      <w:r>
        <w:rPr>
          <w:rFonts w:hint="eastAsia" w:ascii="宋体" w:hAnsi="宋体" w:cs="宋体"/>
          <w:b/>
          <w:bCs/>
          <w:sz w:val="24"/>
          <w:lang w:val="en-US" w:eastAsia="zh-CN"/>
        </w:rPr>
        <w:t>48</w:t>
      </w:r>
      <w:r>
        <w:rPr>
          <w:rFonts w:hint="eastAsia" w:ascii="宋体" w:hAnsi="宋体" w:cs="宋体"/>
          <w:b/>
          <w:bCs/>
          <w:sz w:val="24"/>
        </w:rPr>
        <w:t>小时内委派专业技术人员到达现场进行免费维修服务，并于</w:t>
      </w:r>
      <w:r>
        <w:rPr>
          <w:rFonts w:hint="eastAsia" w:ascii="宋体" w:hAnsi="宋体" w:cs="宋体"/>
          <w:b/>
          <w:bCs/>
          <w:sz w:val="24"/>
          <w:lang w:val="en-US" w:eastAsia="zh-CN"/>
        </w:rPr>
        <w:t>72</w:t>
      </w:r>
      <w:r>
        <w:rPr>
          <w:rFonts w:hint="eastAsia" w:ascii="宋体" w:hAnsi="宋体" w:cs="宋体"/>
          <w:b/>
          <w:bCs/>
          <w:sz w:val="24"/>
        </w:rPr>
        <w:t>个小时内排除故障。设备的重大配件损坏需要寄回厂家维修或更换的，经</w:t>
      </w:r>
      <w:r>
        <w:rPr>
          <w:rFonts w:hint="eastAsia" w:ascii="宋体" w:hAnsi="宋体" w:cs="宋体"/>
          <w:b/>
          <w:bCs/>
          <w:sz w:val="24"/>
          <w:lang w:eastAsia="zh-CN"/>
        </w:rPr>
        <w:t>采购人</w:t>
      </w:r>
      <w:r>
        <w:rPr>
          <w:rFonts w:hint="eastAsia" w:ascii="宋体" w:hAnsi="宋体" w:cs="宋体"/>
          <w:b/>
          <w:bCs/>
          <w:sz w:val="24"/>
        </w:rPr>
        <w:t>审核并书面确认后，维修时间可延长至七日，七日内无法修复必须无条件更换新</w:t>
      </w:r>
      <w:r>
        <w:rPr>
          <w:rFonts w:hint="eastAsia" w:ascii="宋体" w:hAnsi="宋体" w:cs="宋体"/>
          <w:b/>
          <w:bCs/>
          <w:sz w:val="24"/>
          <w:lang w:eastAsia="zh-CN"/>
        </w:rPr>
        <w:t>设备</w:t>
      </w:r>
      <w:r>
        <w:rPr>
          <w:rFonts w:hint="eastAsia" w:ascii="宋体" w:hAnsi="宋体" w:cs="宋体"/>
          <w:b/>
          <w:bCs/>
          <w:sz w:val="24"/>
        </w:rPr>
        <w:t>。</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w:t>
      </w:r>
      <w:r>
        <w:rPr>
          <w:rFonts w:hint="eastAsia"/>
        </w:rPr>
        <w:t>0</w:t>
      </w:r>
      <w:r>
        <w:rPr>
          <w:rFonts w:hint="eastAsia"/>
          <w:lang w:val="zh-TW"/>
        </w:rPr>
        <w:t>0元人民币违约金并继续履行应尽的配送或安装等相关服务。但是，延期违约金的支付总额不得超过合同金额的</w:t>
      </w:r>
      <w:r>
        <w:rPr>
          <w:rFonts w:hint="eastAsia"/>
        </w:rPr>
        <w:t>1</w:t>
      </w:r>
      <w:r>
        <w:rPr>
          <w:rFonts w:hint="eastAsia"/>
          <w:lang w:val="zh-TW"/>
        </w:rPr>
        <w:t>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w:t>
      </w:r>
      <w:r>
        <w:rPr>
          <w:rFonts w:hint="eastAsia"/>
        </w:rPr>
        <w:t>14</w:t>
      </w:r>
      <w:r>
        <w:rPr>
          <w:rFonts w:hint="eastAsia"/>
          <w:lang w:val="zh-TW"/>
        </w:rPr>
        <w:t>天（含</w:t>
      </w:r>
      <w:r>
        <w:rPr>
          <w:rFonts w:hint="eastAsia"/>
        </w:rPr>
        <w:t>14</w:t>
      </w:r>
      <w:r>
        <w:rPr>
          <w:rFonts w:hint="eastAsia"/>
          <w:lang w:val="zh-TW"/>
        </w:rPr>
        <w:t>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w:t>
      </w:r>
      <w:r>
        <w:rPr>
          <w:rFonts w:hint="eastAsia"/>
          <w:lang w:val="en-US" w:eastAsia="zh-CN"/>
        </w:rPr>
        <w:t>1</w:t>
      </w:r>
      <w:r>
        <w:rPr>
          <w:rFonts w:hint="eastAsia"/>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lang w:val="zh-TW"/>
        </w:rPr>
      </w:pPr>
      <w:r>
        <w:rPr>
          <w:rFonts w:hint="eastAsia"/>
          <w:lang w:val="zh-TW"/>
        </w:rPr>
        <w:t>③</w:t>
      </w:r>
      <w:r>
        <w:rPr>
          <w:rFonts w:hint="eastAsia"/>
          <w:lang w:val="zh-TW" w:eastAsia="zh-CN"/>
        </w:rPr>
        <w:t>售后维保</w:t>
      </w:r>
      <w:r>
        <w:rPr>
          <w:rFonts w:hint="eastAsia"/>
          <w:lang w:val="zh-TW"/>
        </w:rPr>
        <w:t>期内，成交供应商未按照合同约定或承诺的时间提供</w:t>
      </w:r>
      <w:r>
        <w:rPr>
          <w:rFonts w:hint="eastAsia"/>
          <w:lang w:val="zh-TW" w:eastAsia="zh-CN"/>
        </w:rPr>
        <w:t>维保</w:t>
      </w:r>
      <w:r>
        <w:rPr>
          <w:rFonts w:hint="eastAsia"/>
          <w:lang w:val="zh-TW"/>
        </w:rPr>
        <w:t>服务，每逾期一天，应支付采购人违约金</w:t>
      </w:r>
      <w:r>
        <w:rPr>
          <w:rFonts w:hint="eastAsia"/>
          <w:lang w:val="en-US" w:eastAsia="zh-CN"/>
        </w:rPr>
        <w:t>5</w:t>
      </w:r>
      <w:r>
        <w:rPr>
          <w:rFonts w:hint="eastAsia"/>
          <w:lang w:val="zh-TW"/>
        </w:rPr>
        <w:t>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highlight w:val="none"/>
        </w:rPr>
      </w:pPr>
      <w:r>
        <w:rPr>
          <w:rFonts w:hint="eastAsia"/>
          <w:highlight w:val="none"/>
        </w:rPr>
        <w:t>（7）除上述具体违约情形外，成交供应商出现不符合网上竞价文件、响应文件、合同要求的其他情形，每发现一次，需向采购人支付违约金</w:t>
      </w:r>
      <w:r>
        <w:rPr>
          <w:rFonts w:hint="eastAsia"/>
          <w:highlight w:val="none"/>
          <w:lang w:val="en-US" w:eastAsia="zh-CN"/>
        </w:rPr>
        <w:t>1</w:t>
      </w:r>
      <w:r>
        <w:rPr>
          <w:rFonts w:hint="eastAsia"/>
          <w:highlight w:val="none"/>
        </w:rPr>
        <w:t>000元。</w:t>
      </w:r>
    </w:p>
    <w:p>
      <w:pPr>
        <w:spacing w:line="360" w:lineRule="auto"/>
        <w:ind w:firstLine="480" w:firstLineChars="200"/>
        <w:rPr>
          <w:highlight w:val="none"/>
          <w:lang w:val="zh-TW"/>
        </w:rPr>
      </w:pPr>
      <w:r>
        <w:rPr>
          <w:rFonts w:hint="eastAsia" w:cs="仿宋" w:asciiTheme="minorEastAsia" w:hAnsiTheme="minorEastAsia" w:eastAsiaTheme="minorEastAsia"/>
          <w:sz w:val="24"/>
          <w:highlight w:val="none"/>
        </w:rPr>
        <w:t>（8）</w:t>
      </w:r>
      <w:r>
        <w:rPr>
          <w:rFonts w:hint="eastAsia" w:cs="宋体" w:asciiTheme="minorEastAsia" w:hAnsiTheme="minorEastAsia" w:eastAsiaTheme="minorEastAsia"/>
          <w:sz w:val="24"/>
          <w:highlight w:val="none"/>
        </w:rPr>
        <w:t>违约金采购人有权直接从应支付成交供应商的费用中扣除。</w:t>
      </w:r>
    </w:p>
    <w:p>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rPr>
      </w:pPr>
      <w:r>
        <w:rPr>
          <w:rStyle w:val="23"/>
          <w:rFonts w:hint="eastAsia"/>
        </w:rPr>
        <w:t>13.专利权及知识产权：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3"/>
          <w:rFonts w:hint="eastAsia"/>
        </w:rPr>
        <w:t>14.保密条款：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rPr>
          <w:rFonts w:ascii="宋体" w:hAnsi="宋体"/>
          <w:b/>
          <w:bCs/>
          <w:sz w:val="36"/>
          <w:szCs w:val="36"/>
        </w:rPr>
      </w:pPr>
    </w:p>
    <w:p>
      <w:pPr>
        <w:widowControl/>
        <w:jc w:val="left"/>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6"/>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3"/>
                <w:rFonts w:hint="eastAsia"/>
              </w:rPr>
              <w:t> </w:t>
            </w:r>
          </w:p>
          <w:p>
            <w:pPr>
              <w:pStyle w:val="16"/>
              <w:spacing w:before="0" w:beforeAutospacing="0" w:after="0" w:afterAutospacing="0" w:line="360" w:lineRule="auto"/>
              <w:jc w:val="center"/>
            </w:pPr>
            <w:r>
              <w:rPr>
                <w:rStyle w:val="23"/>
                <w:rFonts w:hint="eastAsia"/>
              </w:rPr>
              <w:t>要求：真实有效且内容完整、清晰、整洁。</w:t>
            </w:r>
          </w:p>
          <w:p>
            <w:pPr>
              <w:pStyle w:val="16"/>
              <w:spacing w:before="0" w:beforeAutospacing="0" w:after="0" w:afterAutospacing="0" w:line="360" w:lineRule="auto"/>
              <w:jc w:val="center"/>
            </w:pPr>
            <w:r>
              <w:rPr>
                <w:rStyle w:val="23"/>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7"/>
        <w:spacing w:line="360" w:lineRule="auto"/>
        <w:rPr>
          <w:rFonts w:ascii="Times New Roman" w:hAnsi="Times New Roman"/>
        </w:rPr>
      </w:pPr>
    </w:p>
    <w:p>
      <w:pPr>
        <w:spacing w:line="360" w:lineRule="auto"/>
        <w:rPr>
          <w:rFonts w:ascii="Times New Roman" w:hAnsi="Times New Roman"/>
          <w:b/>
          <w:sz w:val="32"/>
        </w:rPr>
      </w:pPr>
    </w:p>
    <w:p>
      <w:pPr>
        <w:pStyle w:val="7"/>
        <w:spacing w:line="360" w:lineRule="auto"/>
        <w:rPr>
          <w:rFonts w:ascii="Times New Roman" w:hAnsi="Times New Roman"/>
        </w:rPr>
      </w:pPr>
    </w:p>
    <w:p>
      <w:pPr>
        <w:spacing w:line="360" w:lineRule="auto"/>
        <w:rPr>
          <w:rFonts w:ascii="Times New Roman" w:hAnsi="Times New Roman"/>
          <w:b/>
          <w:sz w:val="32"/>
        </w:rPr>
      </w:pPr>
    </w:p>
    <w:p>
      <w:pPr>
        <w:spacing w:line="240" w:lineRule="auto"/>
        <w:jc w:val="left"/>
        <w:outlineLvl w:val="9"/>
        <w:rPr>
          <w:rFonts w:hint="eastAsia" w:ascii="宋体" w:hAnsi="宋体"/>
          <w:b/>
          <w:sz w:val="28"/>
          <w:szCs w:val="28"/>
        </w:rPr>
      </w:pPr>
      <w:r>
        <w:rPr>
          <w:rFonts w:hint="eastAsia" w:ascii="宋体" w:hAnsi="宋体"/>
          <w:b/>
          <w:sz w:val="28"/>
          <w:szCs w:val="28"/>
        </w:rPr>
        <w:br w:type="page"/>
      </w: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
        <w:spacing w:line="360" w:lineRule="auto"/>
        <w:ind w:left="0" w:leftChars="0"/>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4"/>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4"/>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spacing w:line="360" w:lineRule="auto"/>
        <w:ind w:left="0" w:leftChars="0"/>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3"/>
        <w:spacing w:line="360" w:lineRule="auto"/>
        <w:ind w:left="0" w:leftChars="0"/>
        <w:rPr>
          <w:rFonts w:ascii="宋体" w:hAnsi="宋体" w:cs="宋体"/>
          <w:b/>
          <w:bCs/>
          <w:sz w:val="28"/>
          <w:szCs w:val="28"/>
        </w:rPr>
      </w:pPr>
    </w:p>
    <w:p>
      <w:pPr>
        <w:pStyle w:val="4"/>
        <w:spacing w:line="360" w:lineRule="auto"/>
        <w:rPr>
          <w:rFonts w:ascii="宋体" w:hAnsi="宋体" w:cs="宋体"/>
          <w:b/>
          <w:bCs/>
          <w:sz w:val="28"/>
          <w:szCs w:val="28"/>
        </w:rPr>
      </w:pPr>
    </w:p>
    <w:p>
      <w:pPr>
        <w:pStyle w:val="4"/>
        <w:spacing w:line="360" w:lineRule="auto"/>
        <w:rPr>
          <w:rFonts w:ascii="宋体" w:hAnsi="宋体" w:cs="宋体"/>
          <w:b/>
          <w:bCs/>
          <w:sz w:val="28"/>
          <w:szCs w:val="28"/>
        </w:rPr>
      </w:pPr>
    </w:p>
    <w:p>
      <w:pPr>
        <w:pStyle w:val="3"/>
        <w:spacing w:line="360" w:lineRule="auto"/>
        <w:ind w:left="0" w:leftChars="0"/>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spacing w:line="360" w:lineRule="auto"/>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spacing w:line="360" w:lineRule="auto"/>
        <w:rPr>
          <w:rFonts w:ascii="宋体" w:hAnsi="宋体" w:cs="宋体"/>
          <w:b/>
          <w:bCs/>
          <w:sz w:val="28"/>
          <w:szCs w:val="28"/>
        </w:rPr>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8"/>
        <w:spacing w:line="360" w:lineRule="auto"/>
        <w:rPr>
          <w:rFonts w:ascii="楷体_GB2312" w:eastAsia="楷体_GB2312"/>
          <w:b/>
          <w:sz w:val="40"/>
          <w:szCs w:val="40"/>
        </w:rPr>
      </w:pPr>
    </w:p>
    <w:p>
      <w:pPr>
        <w:pStyle w:val="3"/>
        <w:spacing w:line="360" w:lineRule="auto"/>
        <w:rPr>
          <w:rFonts w:ascii="楷体_GB2312" w:eastAsia="楷体_GB2312"/>
          <w:b/>
          <w:sz w:val="40"/>
          <w:szCs w:val="40"/>
        </w:rPr>
      </w:pPr>
    </w:p>
    <w:p>
      <w:pPr>
        <w:pStyle w:val="8"/>
        <w:spacing w:line="360" w:lineRule="auto"/>
        <w:rPr>
          <w:rFonts w:ascii="楷体_GB2312" w:eastAsia="楷体_GB2312"/>
          <w:b/>
          <w:sz w:val="40"/>
          <w:szCs w:val="40"/>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4"/>
        <w:spacing w:line="360" w:lineRule="auto"/>
        <w:rPr>
          <w:rFonts w:ascii="楷体_GB2312" w:eastAsia="楷体_GB2312"/>
          <w:b/>
          <w:sz w:val="44"/>
          <w:szCs w:val="44"/>
        </w:rPr>
      </w:pPr>
    </w:p>
    <w:p>
      <w:pPr>
        <w:pStyle w:val="4"/>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6"/>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4"/>
        <w:spacing w:line="360" w:lineRule="auto"/>
      </w:pPr>
    </w:p>
    <w:p>
      <w:pPr>
        <w:pStyle w:val="7"/>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6"/>
        <w:spacing w:line="360" w:lineRule="auto"/>
        <w:rPr>
          <w:sz w:val="24"/>
          <w:szCs w:val="24"/>
        </w:rPr>
      </w:pPr>
      <w:r>
        <w:rPr>
          <w:rFonts w:hint="eastAsia"/>
          <w:sz w:val="24"/>
          <w:szCs w:val="24"/>
        </w:rPr>
        <w:t xml:space="preserve">项目编号：    </w:t>
      </w:r>
    </w:p>
    <w:p>
      <w:pPr>
        <w:pStyle w:val="6"/>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numPr>
          <w:ilvl w:val="0"/>
          <w:numId w:val="4"/>
        </w:numPr>
        <w:spacing w:line="360" w:lineRule="auto"/>
        <w:jc w:val="center"/>
      </w:pPr>
      <w:r>
        <w:br w:type="page"/>
      </w:r>
    </w:p>
    <w:p>
      <w:pPr>
        <w:pStyle w:val="7"/>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6"/>
        <w:spacing w:line="360" w:lineRule="auto"/>
        <w:rPr>
          <w:sz w:val="24"/>
          <w:szCs w:val="24"/>
        </w:rPr>
      </w:pPr>
      <w:r>
        <w:rPr>
          <w:rFonts w:hint="eastAsia"/>
          <w:sz w:val="24"/>
          <w:szCs w:val="24"/>
        </w:rPr>
        <w:t xml:space="preserve">项目编号：    </w:t>
      </w:r>
    </w:p>
    <w:p>
      <w:pPr>
        <w:pStyle w:val="6"/>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9E518F1"/>
    <w:rsid w:val="0B783442"/>
    <w:rsid w:val="0C684C71"/>
    <w:rsid w:val="0F1D0A28"/>
    <w:rsid w:val="11670892"/>
    <w:rsid w:val="13B1041F"/>
    <w:rsid w:val="1620180A"/>
    <w:rsid w:val="19BA661F"/>
    <w:rsid w:val="1E897F61"/>
    <w:rsid w:val="1F850A91"/>
    <w:rsid w:val="20015463"/>
    <w:rsid w:val="200612F5"/>
    <w:rsid w:val="227368C5"/>
    <w:rsid w:val="26CC160F"/>
    <w:rsid w:val="27C42B43"/>
    <w:rsid w:val="28847CD2"/>
    <w:rsid w:val="28AD5641"/>
    <w:rsid w:val="28EB517F"/>
    <w:rsid w:val="29181EA6"/>
    <w:rsid w:val="2A2D3EB3"/>
    <w:rsid w:val="2A3E2317"/>
    <w:rsid w:val="2BD524DE"/>
    <w:rsid w:val="2DE10840"/>
    <w:rsid w:val="2EFC6C91"/>
    <w:rsid w:val="30C16C85"/>
    <w:rsid w:val="31CE533B"/>
    <w:rsid w:val="320F1026"/>
    <w:rsid w:val="32150335"/>
    <w:rsid w:val="33747367"/>
    <w:rsid w:val="354E2190"/>
    <w:rsid w:val="35ED2D88"/>
    <w:rsid w:val="382341D6"/>
    <w:rsid w:val="399D77AD"/>
    <w:rsid w:val="3B1D28DC"/>
    <w:rsid w:val="3B7F431D"/>
    <w:rsid w:val="3C3825DD"/>
    <w:rsid w:val="3D3F6F1C"/>
    <w:rsid w:val="3E135735"/>
    <w:rsid w:val="3E5E6414"/>
    <w:rsid w:val="3E795988"/>
    <w:rsid w:val="435B2651"/>
    <w:rsid w:val="44A73530"/>
    <w:rsid w:val="46E10C60"/>
    <w:rsid w:val="47C80021"/>
    <w:rsid w:val="495F5E6E"/>
    <w:rsid w:val="4AE011B9"/>
    <w:rsid w:val="4AE30836"/>
    <w:rsid w:val="4C7B3E93"/>
    <w:rsid w:val="4CE2174D"/>
    <w:rsid w:val="4D620879"/>
    <w:rsid w:val="4F543728"/>
    <w:rsid w:val="50D32533"/>
    <w:rsid w:val="517949D7"/>
    <w:rsid w:val="51901D96"/>
    <w:rsid w:val="51C17A07"/>
    <w:rsid w:val="56813DA2"/>
    <w:rsid w:val="56A046B9"/>
    <w:rsid w:val="56DB1A01"/>
    <w:rsid w:val="57520F6D"/>
    <w:rsid w:val="584B5258"/>
    <w:rsid w:val="592F4BEA"/>
    <w:rsid w:val="5DBF39CE"/>
    <w:rsid w:val="5EE02541"/>
    <w:rsid w:val="5FD517CA"/>
    <w:rsid w:val="626D1C45"/>
    <w:rsid w:val="65586B09"/>
    <w:rsid w:val="663051CA"/>
    <w:rsid w:val="67F554D5"/>
    <w:rsid w:val="68BC5088"/>
    <w:rsid w:val="73BD4A2D"/>
    <w:rsid w:val="742835D1"/>
    <w:rsid w:val="75627BBA"/>
    <w:rsid w:val="76312F72"/>
    <w:rsid w:val="76A82938"/>
    <w:rsid w:val="78F92E48"/>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10"/>
    <w:next w:val="2"/>
    <w:autoRedefine/>
    <w:qFormat/>
    <w:uiPriority w:val="0"/>
    <w:pPr>
      <w:ind w:firstLine="420" w:firstLineChars="100"/>
    </w:pPr>
    <w:rPr>
      <w:rFonts w:ascii="Times New Roman" w:hAnsi="Times New Roman"/>
      <w:szCs w:val="20"/>
    </w:r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10"/>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2385</Words>
  <Characters>13596</Characters>
  <Lines>113</Lines>
  <Paragraphs>31</Paragraphs>
  <TotalTime>1</TotalTime>
  <ScaleCrop>false</ScaleCrop>
  <LinksUpToDate>false</LinksUpToDate>
  <CharactersWithSpaces>15950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2024-07-09T06:48:51Z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1B47A52B1FF6410B8DB37A5DCE23C5E2_13</vt:lpwstr>
  </property>
</Properties>
</file>